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0077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B914E7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E60C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Default="0096553D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Л.И.Ильина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51774A">
        <w:rPr>
          <w:sz w:val="28"/>
          <w:szCs w:val="28"/>
          <w:lang w:val="ru-RU"/>
        </w:rPr>
        <w:t>«</w:t>
      </w:r>
      <w:r w:rsidR="00230CAF">
        <w:rPr>
          <w:sz w:val="28"/>
          <w:szCs w:val="28"/>
          <w:lang w:val="ru-RU"/>
        </w:rPr>
        <w:t>1</w:t>
      </w:r>
      <w:r w:rsidR="00FE60CF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</w:t>
      </w:r>
      <w:r w:rsidR="00FE60CF">
        <w:rPr>
          <w:sz w:val="28"/>
          <w:szCs w:val="28"/>
          <w:lang w:val="ru-RU"/>
        </w:rPr>
        <w:t>20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lastRenderedPageBreak/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4371FB" w:rsidRDefault="00397AAC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</w:t>
      </w:r>
      <w:r w:rsidR="0012770A" w:rsidRPr="0012770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B914E7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r w:rsidR="00CD746B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E60C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96553D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            Л.И.Ильина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51774A">
        <w:rPr>
          <w:sz w:val="28"/>
          <w:szCs w:val="28"/>
          <w:lang w:val="ru-RU"/>
        </w:rPr>
        <w:t>«</w:t>
      </w:r>
      <w:r w:rsidR="00230CAF">
        <w:rPr>
          <w:sz w:val="28"/>
          <w:szCs w:val="28"/>
          <w:lang w:val="ru-RU"/>
        </w:rPr>
        <w:t>1</w:t>
      </w:r>
      <w:r w:rsidR="00FE60CF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» апреля 20</w:t>
      </w:r>
      <w:r w:rsidR="00FE60CF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3B4C3C" w:rsidRDefault="003B4C3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3B4C3C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3B4C3C" w:rsidTr="002C0F4F">
        <w:tc>
          <w:tcPr>
            <w:tcW w:w="5463" w:type="dxa"/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lastRenderedPageBreak/>
              <w:t>Приложение № 5</w:t>
            </w:r>
          </w:p>
          <w:p w:rsidR="003B4C3C" w:rsidRDefault="003B4C3C" w:rsidP="002C0F4F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3B4C3C" w:rsidRDefault="003B4C3C" w:rsidP="003B4C3C">
      <w:pPr>
        <w:tabs>
          <w:tab w:val="left" w:pos="9630"/>
        </w:tabs>
        <w:rPr>
          <w:rFonts w:cs="Times New Roman"/>
          <w:lang w:val="ru-RU"/>
        </w:rPr>
      </w:pPr>
    </w:p>
    <w:p w:rsidR="003B4C3C" w:rsidRDefault="003B4C3C" w:rsidP="003B4C3C">
      <w:pPr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3B4C3C" w:rsidRPr="00307A45" w:rsidRDefault="003B4C3C" w:rsidP="003B4C3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cs="Times New Roman"/>
          <w:u w:val="single"/>
          <w:lang w:val="ru-RU"/>
        </w:rPr>
        <w:t xml:space="preserve"> 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Обеспечение первичных мер пожарной безопасности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(наименование муниципальной  программы)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>
        <w:rPr>
          <w:rFonts w:cs="Times New Roman"/>
          <w:b/>
          <w:u w:val="single"/>
          <w:lang w:val="ru-RU"/>
        </w:rPr>
        <w:t>за 2019 год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(отчетный период)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3B4C3C" w:rsidRDefault="003B4C3C" w:rsidP="003B4C3C">
      <w:pPr>
        <w:autoSpaceDE w:val="0"/>
        <w:autoSpaceDN w:val="0"/>
        <w:adjustRightInd w:val="0"/>
        <w:jc w:val="right"/>
        <w:rPr>
          <w:rFonts w:eastAsia="Calibri" w:cs="Times New Roman"/>
        </w:rPr>
      </w:pPr>
      <w:r>
        <w:rPr>
          <w:rFonts w:eastAsia="Calibri" w:cs="Times New Roman"/>
          <w:lang w:val="ru-RU"/>
        </w:rPr>
        <w:t xml:space="preserve">         </w:t>
      </w:r>
      <w:r>
        <w:rPr>
          <w:rFonts w:eastAsia="Calibri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3B4C3C" w:rsidTr="002C0F4F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3B4C3C" w:rsidTr="002C0F4F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3C" w:rsidRDefault="003B4C3C" w:rsidP="002C0F4F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 на</w:t>
            </w:r>
            <w:r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3B4C3C" w:rsidTr="002C0F4F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3B4C3C" w:rsidTr="002C0F4F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Всего по му-</w:t>
            </w:r>
          </w:p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 xml:space="preserve">программе,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>в том числе: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hyperlink r:id="rId10" w:anchor="Par408#Par408" w:history="1">
              <w:r>
                <w:rPr>
                  <w:rStyle w:val="af1"/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172,4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172,4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172,4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172,4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172,4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</w:tr>
      <w:tr w:rsidR="003B4C3C" w:rsidTr="002C0F4F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3B4C3C" w:rsidRDefault="003B4C3C" w:rsidP="003B4C3C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3B4C3C" w:rsidRDefault="003B4C3C" w:rsidP="003B4C3C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>
        <w:rPr>
          <w:rFonts w:cs="Times New Roman"/>
          <w:lang w:val="ru-RU"/>
        </w:rPr>
        <w:t>&lt;*&gt; - указывается при наличии подпрограмм.</w:t>
      </w:r>
    </w:p>
    <w:p w:rsidR="003B4C3C" w:rsidRDefault="003B4C3C" w:rsidP="003B4C3C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Таблица 2.Сведения о выполнении мероприятий муниципальной программы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Pr="00307A45" w:rsidRDefault="003B4C3C" w:rsidP="003B4C3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Обеспечение первичных мер пожарной безопасности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 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(наименование муниципальной программы)</w:t>
      </w:r>
    </w:p>
    <w:p w:rsidR="003B4C3C" w:rsidRDefault="003B4C3C" w:rsidP="003B4C3C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3B4C3C" w:rsidTr="002C0F4F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Проблемы, возникшие в ходе</w:t>
            </w:r>
            <w:r>
              <w:rPr>
                <w:rFonts w:cs="Times New Roman"/>
                <w:lang w:val="ru-RU"/>
              </w:rPr>
              <w:br/>
              <w:t xml:space="preserve">  реализации мероприятия</w:t>
            </w:r>
          </w:p>
        </w:tc>
      </w:tr>
      <w:tr w:rsidR="003B4C3C" w:rsidTr="002C0F4F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3B4C3C" w:rsidTr="002C0F4F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rPr>
                <w:rFonts w:cs="Times New Roman"/>
                <w:lang w:val="ru-RU"/>
              </w:rPr>
            </w:pPr>
            <w:r>
              <w:rPr>
                <w:spacing w:val="-4"/>
              </w:rPr>
              <w:t>Приобретение противопожарного инвентаря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B4C3C" w:rsidTr="002C0F4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Pr="001F39BD" w:rsidRDefault="003B4C3C" w:rsidP="002C0F4F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9BD">
              <w:rPr>
                <w:rFonts w:ascii="Times New Roman" w:hAnsi="Times New Roman" w:cs="Times New Roman"/>
                <w:spacing w:val="-4"/>
              </w:rPr>
              <w:t>Выполнение комплекса противопожарных мероприятий (опашка объектов)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B4C3C" w:rsidTr="002C0F4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Pr="001F39BD" w:rsidRDefault="003B4C3C" w:rsidP="002C0F4F">
            <w:pPr>
              <w:snapToGrid w:val="0"/>
              <w:spacing w:after="200"/>
              <w:rPr>
                <w:spacing w:val="-4"/>
                <w:lang w:val="ru-RU"/>
              </w:rPr>
            </w:pPr>
            <w:r w:rsidRPr="001F39BD">
              <w:rPr>
                <w:spacing w:val="-4"/>
                <w:lang w:val="ru-RU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B4C3C" w:rsidTr="002C0F4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snapToGrid w:val="0"/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B4C3C" w:rsidTr="002C0F4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snapToGrid w:val="0"/>
              <w:rPr>
                <w:rFonts w:cs="Times New Roman"/>
                <w:lang w:val="ru-RU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B4C3C" w:rsidTr="002C0F4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3B4C3C" w:rsidRDefault="003B4C3C" w:rsidP="003B4C3C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3B4C3C" w:rsidRPr="001F39BD" w:rsidRDefault="003B4C3C" w:rsidP="003B4C3C">
      <w:pPr>
        <w:autoSpaceDE w:val="0"/>
        <w:autoSpaceDN w:val="0"/>
        <w:adjustRightInd w:val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</w:t>
      </w:r>
      <w:r w:rsidRPr="001F39BD">
        <w:rPr>
          <w:rFonts w:cs="Times New Roman"/>
          <w:lang w:val="ru-RU"/>
        </w:rPr>
        <w:t>--------------------------------</w:t>
      </w:r>
    </w:p>
    <w:p w:rsidR="003B4C3C" w:rsidRDefault="003B4C3C" w:rsidP="003B4C3C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1F39BD">
        <w:rPr>
          <w:rFonts w:cs="Times New Roman"/>
          <w:lang w:val="ru-RU"/>
        </w:rPr>
        <w:t>&lt;*&gt; - указывается при наличии подпрограмм.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71ADB" w:rsidRDefault="00071ADB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 xml:space="preserve">Таблица 3.Сведения о достижении значений </w:t>
      </w:r>
    </w:p>
    <w:p w:rsidR="003B4C3C" w:rsidRDefault="003B4C3C" w:rsidP="003B4C3C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>целевых показателей муниципальной программы</w:t>
      </w:r>
    </w:p>
    <w:p w:rsidR="003B4C3C" w:rsidRPr="00307A45" w:rsidRDefault="003B4C3C" w:rsidP="003B4C3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Обеспечение первичных мер пожарной безопасности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 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(наименование муниципальной программы)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>
        <w:rPr>
          <w:rFonts w:cs="Times New Roman"/>
          <w:b/>
          <w:bCs/>
          <w:u w:val="single"/>
          <w:lang w:val="ru-RU"/>
        </w:rPr>
        <w:t>за 2019 год</w:t>
      </w:r>
    </w:p>
    <w:p w:rsidR="003B4C3C" w:rsidRDefault="003B4C3C" w:rsidP="003B4C3C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3B4C3C" w:rsidTr="00CC1D76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N </w:t>
            </w:r>
            <w:r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Наименование целевого показателя,</w:t>
            </w:r>
            <w:r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rFonts w:cs="Times New Roman"/>
                <w:lang w:val="ru-RU"/>
              </w:rPr>
              <w:br/>
              <w:t xml:space="preserve">   (при наличии)</w:t>
            </w:r>
          </w:p>
        </w:tc>
      </w:tr>
      <w:tr w:rsidR="003B4C3C" w:rsidTr="00CC1D76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3C" w:rsidRDefault="003B4C3C" w:rsidP="002C0F4F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3C" w:rsidRDefault="003B4C3C" w:rsidP="002C0F4F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год, предшествующий</w:t>
            </w:r>
            <w:r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факт за отчетный</w:t>
            </w:r>
            <w:r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3C" w:rsidRDefault="003B4C3C" w:rsidP="002C0F4F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3B4C3C" w:rsidTr="00CC1D76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3C" w:rsidRDefault="003B4C3C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CC1D76"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 w:rsidRPr="00CC1D76">
              <w:rPr>
                <w:spacing w:val="3"/>
                <w:lang w:val="ru-RU"/>
              </w:rPr>
              <w:t>обеспечению первичных мер пожарной безопасности муниципального  жилищного фонда и частного жилья</w:t>
            </w:r>
            <w:r>
              <w:rPr>
                <w:spacing w:val="3"/>
                <w:lang w:val="ru-RU"/>
              </w:rPr>
              <w:t xml:space="preserve">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 w:rsidRPr="00071ADB">
              <w:rPr>
                <w:lang w:val="ru-RU"/>
              </w:rPr>
              <w:t xml:space="preserve"> </w:t>
            </w: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 w:rsidRPr="00071ADB">
              <w:rPr>
                <w:lang w:val="ru-RU"/>
              </w:rPr>
              <w:t xml:space="preserve"> </w:t>
            </w: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 w:rsidRPr="00071ADB">
              <w:rPr>
                <w:lang w:val="ru-RU"/>
              </w:rPr>
              <w:t xml:space="preserve"> </w:t>
            </w: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CC1D76"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CC1D76">
              <w:rPr>
                <w:lang w:val="ru-RU"/>
              </w:rPr>
              <w:t xml:space="preserve">      </w:t>
            </w:r>
            <w:r>
              <w:rPr>
                <w:lang w:val="ru-RU"/>
              </w:rPr>
              <w:t>%</w:t>
            </w:r>
            <w:r w:rsidRPr="00CC1D76">
              <w:rPr>
                <w:lang w:val="ru-RU"/>
              </w:rPr>
              <w:t xml:space="preserve">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071ADB" w:rsidRDefault="00071ADB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2F3621">
              <w:rPr>
                <w:spacing w:val="-4"/>
              </w:rPr>
              <w:t>Приобретение противопожарного инвентаря</w:t>
            </w:r>
            <w:r>
              <w:rPr>
                <w:spacing w:val="-4"/>
                <w:lang w:val="ru-RU"/>
              </w:rPr>
              <w:t xml:space="preserve">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CC1D76">
              <w:rPr>
                <w:spacing w:val="-4"/>
                <w:lang w:val="ru-RU"/>
              </w:rPr>
              <w:t>Выполнение комплекса противопожарных мероприятий (опашка  объектов)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CC1D76">
              <w:rPr>
                <w:spacing w:val="-4"/>
                <w:lang w:val="ru-RU"/>
              </w:rPr>
              <w:t>Выкос сухой травы на пустырях и заброшенных участках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CC1D76">
              <w:rPr>
                <w:spacing w:val="-4"/>
                <w:lang w:val="ru-RU"/>
              </w:rPr>
              <w:t>Проверка пожаробезопасности помещений, зданий жилого сектора, инструктаж населения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071ADB" w:rsidRDefault="00071ADB" w:rsidP="002C0F4F">
            <w:pPr>
              <w:snapToGrid w:val="0"/>
              <w:spacing w:after="200"/>
              <w:rPr>
                <w:spacing w:val="-4"/>
                <w:lang w:val="ru-RU"/>
              </w:rPr>
            </w:pPr>
            <w:r w:rsidRPr="002F3621">
              <w:rPr>
                <w:spacing w:val="-4"/>
              </w:rPr>
              <w:t>Устройство пожарных водоемов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071ADB" w:rsidRDefault="00071ADB" w:rsidP="002C0F4F">
            <w:pPr>
              <w:snapToGrid w:val="0"/>
              <w:spacing w:after="200"/>
              <w:rPr>
                <w:spacing w:val="-4"/>
                <w:lang w:val="ru-RU"/>
              </w:rPr>
            </w:pPr>
            <w:r w:rsidRPr="002F3621">
              <w:t>Содержание автомобиля АРС-14</w:t>
            </w:r>
            <w:r>
              <w:rPr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 w:rsidRPr="00CC1D76">
              <w:rPr>
                <w:spacing w:val="-4"/>
                <w:lang w:val="ru-RU"/>
              </w:rPr>
              <w:t>Обучение лица, ответственного за пожарную безопасность в организации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 w:rsidRPr="00CC1D76">
              <w:rPr>
                <w:spacing w:val="-4"/>
                <w:lang w:val="ru-RU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snapToGrid w:val="0"/>
              <w:spacing w:after="200"/>
              <w:rPr>
                <w:spacing w:val="-4"/>
                <w:lang w:val="ru-RU"/>
              </w:rPr>
            </w:pPr>
            <w:r w:rsidRPr="00CC1D76">
              <w:rPr>
                <w:spacing w:val="-4"/>
                <w:lang w:val="ru-RU"/>
              </w:rPr>
              <w:t xml:space="preserve">Устройство и обновление информационных стендов по пожарной безопасности 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 w:rsidRPr="00CC1D76">
              <w:rPr>
                <w:spacing w:val="-4"/>
                <w:lang w:val="ru-RU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71ADB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CC1D76" w:rsidRDefault="00071ADB" w:rsidP="002C0F4F">
            <w:pPr>
              <w:snapToGrid w:val="0"/>
              <w:spacing w:after="200"/>
              <w:rPr>
                <w:spacing w:val="-4"/>
                <w:lang w:val="ru-RU"/>
              </w:rPr>
            </w:pPr>
            <w:r w:rsidRPr="00CC1D76">
              <w:rPr>
                <w:spacing w:val="-4"/>
                <w:lang w:val="ru-RU"/>
              </w:rPr>
              <w:t>Публикация материалов по противопожарной тематике в средствах массовой информации</w:t>
            </w:r>
            <w:r>
              <w:rPr>
                <w:spacing w:val="-4"/>
                <w:lang w:val="ru-RU"/>
              </w:rPr>
              <w:t xml:space="preserve">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Pr="002F3621" w:rsidRDefault="00071ADB" w:rsidP="002C0F4F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DB" w:rsidRDefault="00071ADB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C1D76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Pr="001F39BD" w:rsidRDefault="00CC1D76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C1D76" w:rsidTr="00CC1D7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Pr="001F39BD" w:rsidRDefault="00CC1D76" w:rsidP="002C0F4F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76" w:rsidRDefault="00CC1D76" w:rsidP="002C0F4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3B4C3C" w:rsidRDefault="003B4C3C" w:rsidP="003B4C3C">
      <w:pPr>
        <w:jc w:val="center"/>
        <w:rPr>
          <w:rFonts w:cs="Times New Roman"/>
          <w:lang w:val="ru-RU"/>
        </w:rPr>
      </w:pPr>
    </w:p>
    <w:p w:rsidR="003B4C3C" w:rsidRDefault="003B4C3C" w:rsidP="003B4C3C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687AC3" w:rsidRPr="00687AC3" w:rsidRDefault="003B4C3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  <w:r>
        <w:rPr>
          <w:lang w:val="ru-RU"/>
        </w:rPr>
        <w:t>Главный служащий                                                     Л.И.Ильина</w:t>
      </w:r>
    </w:p>
    <w:sectPr w:rsidR="00687AC3" w:rsidRPr="00687AC3" w:rsidSect="003B4C3C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F1A" w:rsidRDefault="00233F1A">
      <w:r>
        <w:separator/>
      </w:r>
    </w:p>
  </w:endnote>
  <w:endnote w:type="continuationSeparator" w:id="0">
    <w:p w:rsidR="00233F1A" w:rsidRDefault="0023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F1A" w:rsidRDefault="00233F1A">
      <w:r>
        <w:separator/>
      </w:r>
    </w:p>
  </w:footnote>
  <w:footnote w:type="continuationSeparator" w:id="0">
    <w:p w:rsidR="00233F1A" w:rsidRDefault="00233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34615" w:rsidRPr="00234615">
      <w:rPr>
        <w:noProof/>
        <w:lang w:val="ru-RU"/>
      </w:rPr>
      <w:t>7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71ADB"/>
    <w:rsid w:val="00085DAC"/>
    <w:rsid w:val="00097D12"/>
    <w:rsid w:val="000A68DF"/>
    <w:rsid w:val="000F6487"/>
    <w:rsid w:val="001175E5"/>
    <w:rsid w:val="00123A4A"/>
    <w:rsid w:val="00124DC4"/>
    <w:rsid w:val="0012639D"/>
    <w:rsid w:val="0012770A"/>
    <w:rsid w:val="00194485"/>
    <w:rsid w:val="001A2C59"/>
    <w:rsid w:val="001A637C"/>
    <w:rsid w:val="001B769D"/>
    <w:rsid w:val="001D78D8"/>
    <w:rsid w:val="001F7945"/>
    <w:rsid w:val="00230CAF"/>
    <w:rsid w:val="00233F1A"/>
    <w:rsid w:val="00234615"/>
    <w:rsid w:val="00294E19"/>
    <w:rsid w:val="00295DD4"/>
    <w:rsid w:val="002C0F4F"/>
    <w:rsid w:val="002C759E"/>
    <w:rsid w:val="002E7E7E"/>
    <w:rsid w:val="002F668F"/>
    <w:rsid w:val="00307A45"/>
    <w:rsid w:val="003211C0"/>
    <w:rsid w:val="00331901"/>
    <w:rsid w:val="00397627"/>
    <w:rsid w:val="00397AAC"/>
    <w:rsid w:val="003B4C3C"/>
    <w:rsid w:val="003D46B4"/>
    <w:rsid w:val="00403CD8"/>
    <w:rsid w:val="004062C6"/>
    <w:rsid w:val="004371FB"/>
    <w:rsid w:val="00457426"/>
    <w:rsid w:val="004A556A"/>
    <w:rsid w:val="004C2A63"/>
    <w:rsid w:val="00500F47"/>
    <w:rsid w:val="0051774A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45DEA"/>
    <w:rsid w:val="00776993"/>
    <w:rsid w:val="00780B9B"/>
    <w:rsid w:val="007D533E"/>
    <w:rsid w:val="00836CAB"/>
    <w:rsid w:val="00864A49"/>
    <w:rsid w:val="008C3C5E"/>
    <w:rsid w:val="008D3DB9"/>
    <w:rsid w:val="008F6CB5"/>
    <w:rsid w:val="0093672D"/>
    <w:rsid w:val="00950678"/>
    <w:rsid w:val="0096553D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914E7"/>
    <w:rsid w:val="00BB73FF"/>
    <w:rsid w:val="00BD1A88"/>
    <w:rsid w:val="00BD688A"/>
    <w:rsid w:val="00BE3089"/>
    <w:rsid w:val="00C00B21"/>
    <w:rsid w:val="00C0638F"/>
    <w:rsid w:val="00C169BD"/>
    <w:rsid w:val="00C63958"/>
    <w:rsid w:val="00C76FC8"/>
    <w:rsid w:val="00CC1D76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81371"/>
    <w:rsid w:val="00F95981"/>
    <w:rsid w:val="00FB4578"/>
    <w:rsid w:val="00F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A2B246C-AB03-4ED1-BD30-BC80FAEB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f1">
    <w:name w:val="Hyperlink"/>
    <w:basedOn w:val="a0"/>
    <w:qFormat/>
    <w:rsid w:val="003B4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F614B-EAF5-478B-90B4-B55C9C79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8175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2019-04-25T09:29:00Z</cp:lastPrinted>
  <dcterms:created xsi:type="dcterms:W3CDTF">2020-05-05T18:43:00Z</dcterms:created>
  <dcterms:modified xsi:type="dcterms:W3CDTF">2020-05-05T18:43:00Z</dcterms:modified>
</cp:coreProperties>
</file>